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BD" w:rsidRDefault="009553BD">
      <w:pPr>
        <w:pBdr>
          <w:top w:val="nil"/>
          <w:left w:val="nil"/>
          <w:bottom w:val="nil"/>
          <w:right w:val="nil"/>
          <w:between w:val="nil"/>
        </w:pBdr>
        <w:spacing w:before="240" w:after="240" w:line="276" w:lineRule="auto"/>
        <w:jc w:val="both"/>
        <w:rPr>
          <w:rFonts w:asciiTheme="majorHAnsi" w:hAnsiTheme="majorHAnsi"/>
          <w:b/>
          <w:sz w:val="24"/>
          <w:szCs w:val="24"/>
        </w:rPr>
      </w:pPr>
      <w:bookmarkStart w:id="0" w:name="_GoBack"/>
      <w:bookmarkEnd w:id="0"/>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291"/>
      </w:tblGrid>
      <w:tr w:rsidR="009553BD" w:rsidRPr="009553BD" w:rsidTr="00E26AA1">
        <w:trPr>
          <w:jc w:val="center"/>
        </w:trPr>
        <w:tc>
          <w:tcPr>
            <w:tcW w:w="9242" w:type="dxa"/>
            <w:gridSpan w:val="2"/>
            <w:vAlign w:val="center"/>
          </w:tcPr>
          <w:p w:rsidR="009553BD" w:rsidRPr="009553BD" w:rsidRDefault="009553BD" w:rsidP="009553BD">
            <w:pPr>
              <w:jc w:val="center"/>
              <w:rPr>
                <w:rFonts w:ascii="Calibri" w:eastAsia="Calibri" w:hAnsi="Calibri" w:cs="Calibri"/>
                <w:b/>
                <w:sz w:val="28"/>
                <w:szCs w:val="28"/>
              </w:rPr>
            </w:pPr>
            <w:r w:rsidRPr="009553BD">
              <w:rPr>
                <w:rFonts w:ascii="Calibri" w:eastAsia="Calibri" w:hAnsi="Calibri" w:cs="Calibri"/>
                <w:b/>
                <w:sz w:val="28"/>
                <w:szCs w:val="28"/>
              </w:rPr>
              <w:t>Elizabeth Woodville School</w:t>
            </w:r>
          </w:p>
          <w:p w:rsidR="009553BD" w:rsidRPr="009553BD" w:rsidRDefault="009553BD" w:rsidP="009553BD">
            <w:pPr>
              <w:jc w:val="center"/>
              <w:rPr>
                <w:rFonts w:ascii="Calibri" w:eastAsia="Calibri" w:hAnsi="Calibri" w:cs="Calibri"/>
              </w:rPr>
            </w:pPr>
          </w:p>
        </w:tc>
      </w:tr>
      <w:tr w:rsidR="009553BD" w:rsidRPr="009553BD" w:rsidTr="00E26AA1">
        <w:trPr>
          <w:jc w:val="center"/>
        </w:trPr>
        <w:tc>
          <w:tcPr>
            <w:tcW w:w="1951" w:type="dxa"/>
          </w:tcPr>
          <w:p w:rsidR="009553BD" w:rsidRPr="009553BD" w:rsidRDefault="009553BD" w:rsidP="009553BD">
            <w:pPr>
              <w:rPr>
                <w:rFonts w:ascii="Calibri" w:eastAsia="Calibri" w:hAnsi="Calibri" w:cs="Calibri"/>
              </w:rPr>
            </w:pPr>
            <w:r w:rsidRPr="009553BD">
              <w:rPr>
                <w:rFonts w:ascii="Calibri" w:eastAsia="Calibri" w:hAnsi="Calibri" w:cs="Calibri"/>
              </w:rPr>
              <w:t>Policy Name:</w:t>
            </w:r>
          </w:p>
        </w:tc>
        <w:tc>
          <w:tcPr>
            <w:tcW w:w="7291" w:type="dxa"/>
          </w:tcPr>
          <w:p w:rsidR="009553BD" w:rsidRPr="009553BD" w:rsidRDefault="009553BD" w:rsidP="009553BD">
            <w:pPr>
              <w:rPr>
                <w:rFonts w:ascii="Calibri" w:eastAsia="Calibri" w:hAnsi="Calibri" w:cs="Calibri"/>
              </w:rPr>
            </w:pPr>
            <w:r w:rsidRPr="003F7E5D">
              <w:rPr>
                <w:rFonts w:ascii="Calibri" w:hAnsi="Calibri"/>
              </w:rPr>
              <w:t>Malpractice</w:t>
            </w:r>
            <w:r w:rsidRPr="003F7E5D">
              <w:rPr>
                <w:rFonts w:asciiTheme="majorHAnsi" w:hAnsiTheme="majorHAnsi"/>
                <w:sz w:val="24"/>
                <w:szCs w:val="24"/>
              </w:rPr>
              <w:t xml:space="preserve"> Policy</w:t>
            </w:r>
          </w:p>
        </w:tc>
      </w:tr>
      <w:tr w:rsidR="009553BD" w:rsidRPr="009553BD" w:rsidTr="00E26AA1">
        <w:trPr>
          <w:jc w:val="center"/>
        </w:trPr>
        <w:tc>
          <w:tcPr>
            <w:tcW w:w="1951" w:type="dxa"/>
          </w:tcPr>
          <w:p w:rsidR="009553BD" w:rsidRPr="009553BD" w:rsidRDefault="009553BD" w:rsidP="009553BD">
            <w:pPr>
              <w:rPr>
                <w:rFonts w:ascii="Calibri" w:eastAsia="Calibri" w:hAnsi="Calibri" w:cs="Calibri"/>
              </w:rPr>
            </w:pPr>
          </w:p>
        </w:tc>
        <w:tc>
          <w:tcPr>
            <w:tcW w:w="7291" w:type="dxa"/>
          </w:tcPr>
          <w:p w:rsidR="009553BD" w:rsidRPr="009553BD" w:rsidRDefault="009553BD" w:rsidP="009553BD">
            <w:pPr>
              <w:rPr>
                <w:rFonts w:ascii="Calibri" w:eastAsia="Calibri" w:hAnsi="Calibri" w:cs="Calibri"/>
              </w:rPr>
            </w:pPr>
          </w:p>
        </w:tc>
      </w:tr>
      <w:tr w:rsidR="009553BD" w:rsidRPr="009553BD" w:rsidTr="00E26AA1">
        <w:trPr>
          <w:jc w:val="center"/>
        </w:trPr>
        <w:tc>
          <w:tcPr>
            <w:tcW w:w="1951" w:type="dxa"/>
          </w:tcPr>
          <w:p w:rsidR="009553BD" w:rsidRPr="009553BD" w:rsidRDefault="009553BD" w:rsidP="009553BD">
            <w:pPr>
              <w:rPr>
                <w:rFonts w:ascii="Calibri" w:eastAsia="Calibri" w:hAnsi="Calibri" w:cs="Calibri"/>
              </w:rPr>
            </w:pPr>
            <w:r w:rsidRPr="009553BD">
              <w:rPr>
                <w:rFonts w:ascii="Calibri" w:eastAsia="Calibri" w:hAnsi="Calibri" w:cs="Calibri"/>
              </w:rPr>
              <w:t>Owner:</w:t>
            </w:r>
          </w:p>
        </w:tc>
        <w:tc>
          <w:tcPr>
            <w:tcW w:w="7291" w:type="dxa"/>
          </w:tcPr>
          <w:p w:rsidR="009553BD" w:rsidRPr="009553BD" w:rsidRDefault="009553BD" w:rsidP="009553BD">
            <w:pPr>
              <w:rPr>
                <w:rFonts w:ascii="Calibri" w:eastAsia="Calibri" w:hAnsi="Calibri" w:cs="Calibri"/>
              </w:rPr>
            </w:pPr>
            <w:proofErr w:type="spellStart"/>
            <w:r w:rsidRPr="009553BD">
              <w:rPr>
                <w:rFonts w:ascii="Calibri" w:eastAsia="Calibri" w:hAnsi="Calibri" w:cs="Calibri"/>
              </w:rPr>
              <w:t>Headteacher</w:t>
            </w:r>
            <w:proofErr w:type="spellEnd"/>
          </w:p>
        </w:tc>
      </w:tr>
      <w:tr w:rsidR="009553BD" w:rsidRPr="009553BD" w:rsidTr="00E26AA1">
        <w:trPr>
          <w:jc w:val="center"/>
        </w:trPr>
        <w:tc>
          <w:tcPr>
            <w:tcW w:w="1951" w:type="dxa"/>
          </w:tcPr>
          <w:p w:rsidR="009553BD" w:rsidRPr="009553BD" w:rsidRDefault="009553BD" w:rsidP="009553BD">
            <w:pPr>
              <w:rPr>
                <w:rFonts w:ascii="Calibri" w:eastAsia="Calibri" w:hAnsi="Calibri" w:cs="Calibri"/>
              </w:rPr>
            </w:pPr>
          </w:p>
        </w:tc>
        <w:tc>
          <w:tcPr>
            <w:tcW w:w="7291" w:type="dxa"/>
          </w:tcPr>
          <w:p w:rsidR="009553BD" w:rsidRPr="009553BD" w:rsidRDefault="009553BD" w:rsidP="009553BD">
            <w:pPr>
              <w:rPr>
                <w:rFonts w:ascii="Calibri" w:eastAsia="Calibri" w:hAnsi="Calibri" w:cs="Calibri"/>
              </w:rPr>
            </w:pPr>
          </w:p>
        </w:tc>
      </w:tr>
      <w:tr w:rsidR="009553BD" w:rsidRPr="009553BD" w:rsidTr="00E26AA1">
        <w:trPr>
          <w:jc w:val="center"/>
        </w:trPr>
        <w:tc>
          <w:tcPr>
            <w:tcW w:w="1951" w:type="dxa"/>
          </w:tcPr>
          <w:p w:rsidR="009553BD" w:rsidRPr="009553BD" w:rsidRDefault="009553BD" w:rsidP="009553BD">
            <w:pPr>
              <w:rPr>
                <w:rFonts w:ascii="Calibri" w:eastAsia="Calibri" w:hAnsi="Calibri" w:cs="Calibri"/>
              </w:rPr>
            </w:pPr>
            <w:r w:rsidRPr="009553BD">
              <w:rPr>
                <w:rFonts w:ascii="Calibri" w:eastAsia="Calibri" w:hAnsi="Calibri" w:cs="Calibri"/>
              </w:rPr>
              <w:t>Statutory:</w:t>
            </w:r>
          </w:p>
        </w:tc>
        <w:tc>
          <w:tcPr>
            <w:tcW w:w="7291" w:type="dxa"/>
          </w:tcPr>
          <w:p w:rsidR="009553BD" w:rsidRPr="009553BD" w:rsidRDefault="009553BD" w:rsidP="009553BD">
            <w:pPr>
              <w:rPr>
                <w:rFonts w:ascii="Calibri" w:eastAsia="Calibri" w:hAnsi="Calibri" w:cs="Calibri"/>
              </w:rPr>
            </w:pPr>
            <w:r>
              <w:rPr>
                <w:rFonts w:ascii="Calibri" w:eastAsia="Calibri" w:hAnsi="Calibri" w:cs="Calibri"/>
              </w:rPr>
              <w:t>No</w:t>
            </w:r>
          </w:p>
        </w:tc>
      </w:tr>
      <w:tr w:rsidR="009553BD" w:rsidRPr="009553BD" w:rsidTr="00E26AA1">
        <w:trPr>
          <w:jc w:val="center"/>
        </w:trPr>
        <w:tc>
          <w:tcPr>
            <w:tcW w:w="1951" w:type="dxa"/>
            <w:shd w:val="clear" w:color="auto" w:fill="A6A6A6"/>
          </w:tcPr>
          <w:p w:rsidR="009553BD" w:rsidRPr="009553BD" w:rsidRDefault="009553BD" w:rsidP="009553BD">
            <w:pPr>
              <w:rPr>
                <w:rFonts w:ascii="Calibri" w:eastAsia="Calibri" w:hAnsi="Calibri" w:cs="Calibri"/>
              </w:rPr>
            </w:pPr>
            <w:r w:rsidRPr="009553BD">
              <w:rPr>
                <w:rFonts w:ascii="Calibri" w:eastAsia="Calibri" w:hAnsi="Calibri" w:cs="Calibri"/>
              </w:rPr>
              <w:t>Date Ratified:</w:t>
            </w:r>
          </w:p>
        </w:tc>
        <w:tc>
          <w:tcPr>
            <w:tcW w:w="7291" w:type="dxa"/>
            <w:shd w:val="clear" w:color="auto" w:fill="A6A6A6"/>
          </w:tcPr>
          <w:p w:rsidR="009553BD" w:rsidRPr="009553BD" w:rsidRDefault="009553BD" w:rsidP="009553BD">
            <w:pPr>
              <w:rPr>
                <w:rFonts w:ascii="Calibri" w:eastAsia="Calibri" w:hAnsi="Calibri" w:cs="Calibri"/>
              </w:rPr>
            </w:pPr>
            <w:r w:rsidRPr="009553BD">
              <w:rPr>
                <w:rFonts w:ascii="Calibri" w:eastAsia="Calibri" w:hAnsi="Calibri" w:cs="Calibri"/>
              </w:rPr>
              <w:t>By Governing Body November 2020</w:t>
            </w:r>
          </w:p>
        </w:tc>
      </w:tr>
      <w:tr w:rsidR="009553BD" w:rsidRPr="009553BD" w:rsidTr="00E26AA1">
        <w:trPr>
          <w:jc w:val="center"/>
        </w:trPr>
        <w:tc>
          <w:tcPr>
            <w:tcW w:w="1951" w:type="dxa"/>
          </w:tcPr>
          <w:p w:rsidR="009553BD" w:rsidRPr="009553BD" w:rsidRDefault="009553BD" w:rsidP="009553BD">
            <w:pPr>
              <w:rPr>
                <w:rFonts w:ascii="Calibri" w:eastAsia="Calibri" w:hAnsi="Calibri" w:cs="Calibri"/>
              </w:rPr>
            </w:pPr>
            <w:r w:rsidRPr="009553BD">
              <w:rPr>
                <w:rFonts w:ascii="Calibri" w:eastAsia="Calibri" w:hAnsi="Calibri" w:cs="Calibri"/>
              </w:rPr>
              <w:t>Review date:</w:t>
            </w:r>
          </w:p>
        </w:tc>
        <w:tc>
          <w:tcPr>
            <w:tcW w:w="7291" w:type="dxa"/>
          </w:tcPr>
          <w:p w:rsidR="009553BD" w:rsidRPr="009553BD" w:rsidRDefault="009553BD" w:rsidP="009553BD">
            <w:pPr>
              <w:rPr>
                <w:rFonts w:ascii="Calibri" w:eastAsia="Calibri" w:hAnsi="Calibri" w:cs="Calibri"/>
              </w:rPr>
            </w:pPr>
            <w:r w:rsidRPr="009553BD">
              <w:rPr>
                <w:rFonts w:ascii="Calibri" w:eastAsia="Calibri" w:hAnsi="Calibri" w:cs="Calibri"/>
              </w:rPr>
              <w:t>November 2021</w:t>
            </w:r>
          </w:p>
        </w:tc>
      </w:tr>
    </w:tbl>
    <w:p w:rsidR="00127E3F" w:rsidRPr="00254E57" w:rsidRDefault="00E44C3D">
      <w:pPr>
        <w:pBdr>
          <w:top w:val="nil"/>
          <w:left w:val="nil"/>
          <w:bottom w:val="nil"/>
          <w:right w:val="nil"/>
          <w:between w:val="nil"/>
        </w:pBdr>
        <w:spacing w:before="240" w:after="240" w:line="276" w:lineRule="auto"/>
        <w:jc w:val="both"/>
        <w:rPr>
          <w:rFonts w:asciiTheme="majorHAnsi" w:hAnsiTheme="majorHAnsi"/>
          <w:b/>
          <w:sz w:val="24"/>
          <w:szCs w:val="24"/>
        </w:rPr>
      </w:pPr>
      <w:r w:rsidRPr="00254E57">
        <w:rPr>
          <w:rFonts w:asciiTheme="majorHAnsi" w:hAnsiTheme="majorHAnsi"/>
          <w:b/>
          <w:sz w:val="24"/>
          <w:szCs w:val="24"/>
        </w:rPr>
        <w:t>Introduction</w:t>
      </w:r>
    </w:p>
    <w:p w:rsidR="00127E3F" w:rsidRPr="00254E57" w:rsidRDefault="00E44C3D">
      <w:pPr>
        <w:spacing w:after="120" w:line="276" w:lineRule="auto"/>
        <w:jc w:val="both"/>
        <w:rPr>
          <w:rFonts w:asciiTheme="majorHAnsi" w:hAnsiTheme="majorHAnsi"/>
        </w:rPr>
      </w:pPr>
      <w:r w:rsidRPr="00254E57">
        <w:rPr>
          <w:rFonts w:asciiTheme="majorHAnsi" w:hAnsiTheme="majorHAnsi"/>
          <w:color w:val="333333"/>
        </w:rPr>
        <w:t>Elizabeth Woodville School (EWS) ma</w:t>
      </w:r>
      <w:r w:rsidRPr="00254E57">
        <w:rPr>
          <w:rFonts w:asciiTheme="majorHAnsi" w:hAnsiTheme="majorHAnsi"/>
        </w:rPr>
        <w:t xml:space="preserve">nages malpractice, in accordance with the </w:t>
      </w:r>
      <w:r w:rsidRPr="00254E57">
        <w:rPr>
          <w:rFonts w:asciiTheme="majorHAnsi" w:eastAsia="Verdana" w:hAnsiTheme="majorHAnsi" w:cs="Verdana"/>
        </w:rPr>
        <w:t xml:space="preserve">JCQ </w:t>
      </w:r>
      <w:hyperlink r:id="rId8">
        <w:r w:rsidRPr="00254E57">
          <w:rPr>
            <w:rFonts w:asciiTheme="majorHAnsi" w:eastAsia="Verdana" w:hAnsiTheme="majorHAnsi" w:cs="Verdana"/>
            <w:color w:val="0563C1"/>
          </w:rPr>
          <w:t>General Regulations for Approved Centres</w:t>
        </w:r>
      </w:hyperlink>
      <w:r w:rsidRPr="00254E57">
        <w:rPr>
          <w:rFonts w:asciiTheme="majorHAnsi" w:eastAsia="Verdana" w:hAnsiTheme="majorHAnsi" w:cs="Verdana"/>
        </w:rPr>
        <w:t xml:space="preserve"> (</w:t>
      </w:r>
      <w:r w:rsidRPr="00254E57">
        <w:rPr>
          <w:rFonts w:asciiTheme="majorHAnsi" w:hAnsiTheme="majorHAnsi"/>
        </w:rPr>
        <w:t>section 5.11). Under normal delivery arrangements we take all reasonable steps to prevent the occurrence of any malpractice (which includes maladministration) before, during and after examinations and report and investigate as detailed in the</w:t>
      </w:r>
      <w:r w:rsidRPr="00254E57">
        <w:rPr>
          <w:rFonts w:asciiTheme="majorHAnsi" w:hAnsiTheme="majorHAnsi"/>
          <w:color w:val="333333"/>
        </w:rPr>
        <w:t xml:space="preserve"> Exams policy</w:t>
      </w:r>
      <w:r w:rsidRPr="00254E57">
        <w:rPr>
          <w:rFonts w:asciiTheme="majorHAnsi" w:hAnsiTheme="majorHAnsi"/>
          <w:color w:val="FF3300"/>
        </w:rPr>
        <w:t xml:space="preserve"> </w:t>
      </w:r>
      <w:r w:rsidRPr="00254E57">
        <w:rPr>
          <w:rFonts w:asciiTheme="majorHAnsi" w:hAnsiTheme="majorHAnsi"/>
        </w:rPr>
        <w:t>according to the requirements.</w:t>
      </w:r>
    </w:p>
    <w:p w:rsidR="00127E3F" w:rsidRPr="00254E57" w:rsidRDefault="006D5521">
      <w:pPr>
        <w:spacing w:after="120" w:line="276" w:lineRule="auto"/>
        <w:jc w:val="both"/>
        <w:rPr>
          <w:rFonts w:asciiTheme="majorHAnsi" w:hAnsiTheme="majorHAnsi"/>
        </w:rPr>
      </w:pPr>
      <w:r w:rsidRPr="00254E57">
        <w:rPr>
          <w:rFonts w:asciiTheme="majorHAnsi" w:hAnsiTheme="majorHAnsi"/>
        </w:rPr>
        <w:t>Our general C</w:t>
      </w:r>
      <w:r w:rsidR="00E44C3D" w:rsidRPr="00254E57">
        <w:rPr>
          <w:rFonts w:asciiTheme="majorHAnsi" w:hAnsiTheme="majorHAnsi"/>
        </w:rPr>
        <w:t xml:space="preserve">entre policies regarding malpractice, maladministration and conflicts of interest have been reviewed to ensure they address the specific challenges of delivery in </w:t>
      </w:r>
      <w:proofErr w:type="gramStart"/>
      <w:r w:rsidR="00E44C3D" w:rsidRPr="00254E57">
        <w:rPr>
          <w:rFonts w:asciiTheme="majorHAnsi" w:hAnsiTheme="majorHAnsi"/>
        </w:rPr>
        <w:t>Summer</w:t>
      </w:r>
      <w:proofErr w:type="gramEnd"/>
      <w:r w:rsidR="00E44C3D" w:rsidRPr="00254E57">
        <w:rPr>
          <w:rFonts w:asciiTheme="majorHAnsi" w:hAnsiTheme="majorHAnsi"/>
        </w:rPr>
        <w:t xml:space="preserve"> 2021.</w:t>
      </w:r>
    </w:p>
    <w:p w:rsidR="00127E3F" w:rsidRPr="00254E57" w:rsidRDefault="00E44C3D">
      <w:pPr>
        <w:pBdr>
          <w:top w:val="nil"/>
          <w:left w:val="nil"/>
          <w:bottom w:val="nil"/>
          <w:right w:val="nil"/>
          <w:between w:val="nil"/>
        </w:pBdr>
        <w:spacing w:before="240" w:after="240" w:line="276" w:lineRule="auto"/>
        <w:jc w:val="both"/>
        <w:rPr>
          <w:rFonts w:asciiTheme="majorHAnsi" w:hAnsiTheme="majorHAnsi"/>
          <w:b/>
          <w:sz w:val="24"/>
          <w:szCs w:val="24"/>
        </w:rPr>
      </w:pPr>
      <w:r w:rsidRPr="00254E57">
        <w:rPr>
          <w:rFonts w:asciiTheme="majorHAnsi" w:hAnsiTheme="majorHAnsi"/>
          <w:b/>
          <w:sz w:val="24"/>
          <w:szCs w:val="24"/>
        </w:rPr>
        <w:t>Purpose of the policy</w:t>
      </w:r>
    </w:p>
    <w:p w:rsidR="00127E3F" w:rsidRPr="00254E57" w:rsidRDefault="00E44C3D">
      <w:pPr>
        <w:spacing w:after="120" w:line="276" w:lineRule="auto"/>
        <w:jc w:val="both"/>
        <w:rPr>
          <w:rFonts w:asciiTheme="majorHAnsi" w:hAnsiTheme="majorHAnsi"/>
        </w:rPr>
      </w:pPr>
      <w:r w:rsidRPr="00254E57">
        <w:rPr>
          <w:rFonts w:asciiTheme="majorHAnsi" w:hAnsiTheme="majorHAnsi"/>
        </w:rPr>
        <w:t xml:space="preserve">This policy addresses malpractice under the specific arrangements for delivery in </w:t>
      </w:r>
      <w:proofErr w:type="gramStart"/>
      <w:r w:rsidRPr="00254E57">
        <w:rPr>
          <w:rFonts w:asciiTheme="majorHAnsi" w:hAnsiTheme="majorHAnsi"/>
        </w:rPr>
        <w:t>Summer</w:t>
      </w:r>
      <w:proofErr w:type="gramEnd"/>
      <w:r w:rsidRPr="00254E57">
        <w:rPr>
          <w:rFonts w:asciiTheme="majorHAnsi" w:hAnsiTheme="majorHAnsi"/>
        </w:rPr>
        <w:t xml:space="preserve"> 2021. </w:t>
      </w:r>
    </w:p>
    <w:p w:rsidR="00127E3F" w:rsidRPr="00254E57" w:rsidRDefault="00E44C3D">
      <w:pPr>
        <w:spacing w:after="120" w:line="276" w:lineRule="auto"/>
        <w:jc w:val="both"/>
        <w:rPr>
          <w:rFonts w:asciiTheme="majorHAnsi" w:hAnsiTheme="majorHAnsi"/>
          <w:color w:val="231F20"/>
        </w:rPr>
      </w:pPr>
      <w:r w:rsidRPr="00254E57">
        <w:rPr>
          <w:rFonts w:asciiTheme="majorHAnsi" w:hAnsiTheme="majorHAnsi"/>
        </w:rPr>
        <w:t xml:space="preserve">All staff involved </w:t>
      </w:r>
      <w:proofErr w:type="gramStart"/>
      <w:r w:rsidRPr="00254E57">
        <w:rPr>
          <w:rFonts w:asciiTheme="majorHAnsi" w:hAnsiTheme="majorHAnsi"/>
        </w:rPr>
        <w:t>have</w:t>
      </w:r>
      <w:proofErr w:type="gramEnd"/>
      <w:r w:rsidRPr="00254E57">
        <w:rPr>
          <w:rFonts w:asciiTheme="majorHAnsi" w:hAnsiTheme="majorHAnsi"/>
        </w:rPr>
        <w:t xml:space="preserve"> been made aware of this policy</w:t>
      </w:r>
      <w:r w:rsidRPr="00254E57">
        <w:rPr>
          <w:rFonts w:asciiTheme="majorHAnsi" w:hAnsiTheme="majorHAnsi"/>
          <w:color w:val="231F20"/>
        </w:rPr>
        <w:t>.</w:t>
      </w:r>
    </w:p>
    <w:p w:rsidR="00127E3F" w:rsidRPr="00FF1291" w:rsidRDefault="00E44C3D">
      <w:pPr>
        <w:pBdr>
          <w:top w:val="nil"/>
          <w:left w:val="nil"/>
          <w:bottom w:val="nil"/>
          <w:right w:val="nil"/>
          <w:between w:val="nil"/>
        </w:pBdr>
        <w:spacing w:before="240" w:after="240" w:line="276" w:lineRule="auto"/>
        <w:jc w:val="both"/>
        <w:rPr>
          <w:rFonts w:asciiTheme="majorHAnsi" w:hAnsiTheme="majorHAnsi"/>
          <w:b/>
          <w:sz w:val="24"/>
          <w:szCs w:val="24"/>
        </w:rPr>
      </w:pPr>
      <w:r w:rsidRPr="00FF1291">
        <w:rPr>
          <w:rFonts w:asciiTheme="majorHAnsi" w:hAnsiTheme="majorHAnsi"/>
          <w:b/>
          <w:sz w:val="24"/>
          <w:szCs w:val="24"/>
        </w:rPr>
        <w:t>General principles</w:t>
      </w:r>
    </w:p>
    <w:p w:rsidR="00127E3F" w:rsidRPr="00FF1291" w:rsidRDefault="00E44C3D">
      <w:pPr>
        <w:spacing w:after="120" w:line="276" w:lineRule="auto"/>
        <w:jc w:val="both"/>
        <w:rPr>
          <w:rFonts w:asciiTheme="majorHAnsi" w:hAnsiTheme="majorHAnsi"/>
        </w:rPr>
      </w:pPr>
      <w:r w:rsidRPr="00FF1291">
        <w:rPr>
          <w:rFonts w:asciiTheme="majorHAnsi" w:hAnsiTheme="majorHAnsi"/>
        </w:rPr>
        <w:t>In accordance with the regulations</w:t>
      </w:r>
      <w:r w:rsidRPr="00FF1291">
        <w:rPr>
          <w:rFonts w:asciiTheme="majorHAnsi" w:hAnsiTheme="majorHAnsi"/>
          <w:color w:val="333333"/>
        </w:rPr>
        <w:t xml:space="preserve"> Elizabeth Woodville School </w:t>
      </w:r>
      <w:r w:rsidRPr="00FF1291">
        <w:rPr>
          <w:rFonts w:asciiTheme="majorHAnsi" w:hAnsiTheme="majorHAnsi"/>
        </w:rPr>
        <w:t>will:</w:t>
      </w:r>
    </w:p>
    <w:p w:rsidR="00127E3F" w:rsidRPr="00FF1291" w:rsidRDefault="006D5521">
      <w:pPr>
        <w:numPr>
          <w:ilvl w:val="0"/>
          <w:numId w:val="3"/>
        </w:numPr>
        <w:spacing w:line="276" w:lineRule="auto"/>
        <w:jc w:val="both"/>
        <w:rPr>
          <w:rFonts w:asciiTheme="majorHAnsi" w:hAnsiTheme="majorHAnsi"/>
        </w:rPr>
      </w:pPr>
      <w:r w:rsidRPr="00FF1291">
        <w:rPr>
          <w:rFonts w:asciiTheme="majorHAnsi" w:hAnsiTheme="majorHAnsi"/>
        </w:rPr>
        <w:t>take</w:t>
      </w:r>
      <w:r w:rsidR="00E44C3D" w:rsidRPr="00FF1291">
        <w:rPr>
          <w:rFonts w:asciiTheme="majorHAnsi" w:hAnsiTheme="majorHAnsi"/>
        </w:rPr>
        <w:t xml:space="preserve"> reasonable steps to prevent the occurrence of any malpractice (which includes maladministration) before, during and after the determination of grades process</w:t>
      </w:r>
    </w:p>
    <w:p w:rsidR="00127E3F" w:rsidRPr="00FF1291" w:rsidRDefault="00E44C3D">
      <w:pPr>
        <w:numPr>
          <w:ilvl w:val="0"/>
          <w:numId w:val="3"/>
        </w:numPr>
        <w:spacing w:line="276" w:lineRule="auto"/>
        <w:jc w:val="both"/>
        <w:rPr>
          <w:rFonts w:asciiTheme="majorHAnsi" w:hAnsiTheme="majorHAnsi"/>
        </w:rPr>
      </w:pPr>
      <w:r w:rsidRPr="00FF1291">
        <w:rPr>
          <w:rFonts w:asciiTheme="majorHAnsi" w:hAnsiTheme="majorHAnsi"/>
        </w:rPr>
        <w:t>inform the awarding body immediately of any alleged, suspected or actual incidents of malpractice or maladministration, involving a candidate or a member of staff, by completing the appropriate documentation, including:</w:t>
      </w:r>
    </w:p>
    <w:p w:rsidR="00127E3F" w:rsidRPr="00FF1291" w:rsidRDefault="00E44C3D">
      <w:pPr>
        <w:numPr>
          <w:ilvl w:val="1"/>
          <w:numId w:val="2"/>
        </w:numPr>
        <w:spacing w:line="276" w:lineRule="auto"/>
        <w:jc w:val="both"/>
        <w:rPr>
          <w:rFonts w:asciiTheme="majorHAnsi" w:hAnsiTheme="majorHAnsi"/>
        </w:rPr>
      </w:pPr>
      <w:r w:rsidRPr="00FF1291">
        <w:rPr>
          <w:rFonts w:asciiTheme="majorHAnsi" w:hAnsiTheme="majorHAnsi"/>
        </w:rPr>
        <w:t xml:space="preserve">the </w:t>
      </w:r>
      <w:hyperlink r:id="rId9">
        <w:r w:rsidRPr="00FF1291">
          <w:rPr>
            <w:rFonts w:asciiTheme="majorHAnsi" w:eastAsia="Verdana" w:hAnsiTheme="majorHAnsi" w:cs="Verdana"/>
            <w:color w:val="0563C1"/>
          </w:rPr>
          <w:t>JCQ M1 form</w:t>
        </w:r>
      </w:hyperlink>
      <w:r w:rsidRPr="00FF1291">
        <w:rPr>
          <w:rFonts w:asciiTheme="majorHAnsi" w:hAnsiTheme="majorHAnsi"/>
        </w:rPr>
        <w:t xml:space="preserve"> in a case of suspected candidate malpractice</w:t>
      </w:r>
    </w:p>
    <w:p w:rsidR="00127E3F" w:rsidRPr="00FF1291" w:rsidRDefault="00E44C3D">
      <w:pPr>
        <w:numPr>
          <w:ilvl w:val="1"/>
          <w:numId w:val="2"/>
        </w:numPr>
        <w:spacing w:line="276" w:lineRule="auto"/>
        <w:rPr>
          <w:rFonts w:asciiTheme="majorHAnsi" w:hAnsiTheme="majorHAnsi"/>
        </w:rPr>
      </w:pPr>
      <w:r w:rsidRPr="00FF1291">
        <w:rPr>
          <w:rFonts w:asciiTheme="majorHAnsi" w:hAnsiTheme="majorHAnsi"/>
        </w:rPr>
        <w:t xml:space="preserve">the </w:t>
      </w:r>
      <w:hyperlink r:id="rId10">
        <w:r w:rsidRPr="00FF1291">
          <w:rPr>
            <w:rFonts w:asciiTheme="majorHAnsi" w:eastAsia="Verdana" w:hAnsiTheme="majorHAnsi" w:cs="Verdana"/>
            <w:color w:val="0563C1"/>
          </w:rPr>
          <w:t>JCQ M2 form</w:t>
        </w:r>
      </w:hyperlink>
      <w:r w:rsidRPr="00FF1291">
        <w:rPr>
          <w:rFonts w:asciiTheme="majorHAnsi" w:eastAsia="Verdana" w:hAnsiTheme="majorHAnsi" w:cs="Verdana"/>
        </w:rPr>
        <w:t xml:space="preserve"> i</w:t>
      </w:r>
      <w:r w:rsidRPr="00FF1291">
        <w:rPr>
          <w:rFonts w:asciiTheme="majorHAnsi" w:hAnsiTheme="majorHAnsi"/>
        </w:rPr>
        <w:t>n a case of suspected malpractice/maladministration involving a member of centre staff</w:t>
      </w:r>
    </w:p>
    <w:p w:rsidR="00127E3F" w:rsidRPr="00FF1291" w:rsidRDefault="00E44C3D">
      <w:pPr>
        <w:numPr>
          <w:ilvl w:val="0"/>
          <w:numId w:val="2"/>
        </w:numPr>
        <w:spacing w:line="276" w:lineRule="auto"/>
        <w:ind w:left="714" w:hanging="357"/>
        <w:jc w:val="both"/>
        <w:rPr>
          <w:rFonts w:asciiTheme="majorHAnsi" w:hAnsiTheme="majorHAnsi"/>
        </w:rPr>
      </w:pPr>
      <w:r w:rsidRPr="00FF1291">
        <w:rPr>
          <w:rFonts w:asciiTheme="majorHAnsi" w:hAnsiTheme="majorHAnsi"/>
        </w:rPr>
        <w:t xml:space="preserve">as required by an awarding body, investigate any instances of alleged or suspected malpractice (which includes maladministration) in accordance with the JCQ publication </w:t>
      </w:r>
      <w:hyperlink r:id="rId11">
        <w:r w:rsidRPr="00FF1291">
          <w:rPr>
            <w:rFonts w:asciiTheme="majorHAnsi" w:eastAsia="Verdana" w:hAnsiTheme="majorHAnsi" w:cs="Verdana"/>
            <w:color w:val="0563C1"/>
          </w:rPr>
          <w:t>JCQ Suspected Malpractice: Policies and Procedures 2020-2021</w:t>
        </w:r>
      </w:hyperlink>
      <w:r w:rsidRPr="00FF1291">
        <w:rPr>
          <w:rFonts w:asciiTheme="majorHAnsi" w:hAnsiTheme="majorHAnsi"/>
          <w:i/>
        </w:rPr>
        <w:t xml:space="preserve"> </w:t>
      </w:r>
      <w:r w:rsidRPr="00FF1291">
        <w:rPr>
          <w:rFonts w:asciiTheme="majorHAnsi" w:hAnsiTheme="majorHAnsi"/>
        </w:rPr>
        <w:t>and provide such information and advice as the awarding body may reasonably require</w:t>
      </w:r>
    </w:p>
    <w:p w:rsidR="00127E3F" w:rsidRPr="00FF1291" w:rsidRDefault="00E44C3D">
      <w:pPr>
        <w:spacing w:before="120" w:after="120" w:line="276" w:lineRule="auto"/>
        <w:jc w:val="both"/>
        <w:rPr>
          <w:rFonts w:asciiTheme="majorHAnsi" w:hAnsiTheme="majorHAnsi"/>
          <w:i/>
        </w:rPr>
      </w:pPr>
      <w:r w:rsidRPr="00FF1291">
        <w:rPr>
          <w:rFonts w:asciiTheme="majorHAnsi" w:hAnsiTheme="majorHAnsi"/>
          <w:i/>
        </w:rPr>
        <w:t>Where reference is made to candidates, this includes any private candidates accepted by the centre</w:t>
      </w:r>
    </w:p>
    <w:p w:rsidR="00127E3F" w:rsidRPr="00702D2E" w:rsidRDefault="00E44C3D">
      <w:pPr>
        <w:pBdr>
          <w:top w:val="nil"/>
          <w:left w:val="nil"/>
          <w:bottom w:val="nil"/>
          <w:right w:val="nil"/>
          <w:between w:val="nil"/>
        </w:pBdr>
        <w:spacing w:before="240" w:after="240" w:line="276" w:lineRule="auto"/>
        <w:rPr>
          <w:rFonts w:asciiTheme="majorHAnsi" w:hAnsiTheme="majorHAnsi"/>
          <w:b/>
          <w:sz w:val="24"/>
          <w:szCs w:val="24"/>
        </w:rPr>
      </w:pPr>
      <w:r w:rsidRPr="00702D2E">
        <w:rPr>
          <w:rFonts w:asciiTheme="majorHAnsi" w:hAnsiTheme="majorHAnsi"/>
          <w:b/>
          <w:sz w:val="24"/>
          <w:szCs w:val="24"/>
        </w:rPr>
        <w:t>Reporting malpractice</w:t>
      </w:r>
    </w:p>
    <w:p w:rsidR="00127E3F" w:rsidRPr="00702D2E" w:rsidRDefault="00E44C3D">
      <w:pPr>
        <w:spacing w:before="120" w:after="120" w:line="276" w:lineRule="auto"/>
        <w:jc w:val="both"/>
        <w:rPr>
          <w:rFonts w:asciiTheme="majorHAnsi" w:hAnsiTheme="majorHAnsi"/>
          <w:b/>
        </w:rPr>
      </w:pPr>
      <w:r w:rsidRPr="00702D2E">
        <w:rPr>
          <w:rFonts w:asciiTheme="majorHAnsi" w:hAnsiTheme="majorHAnsi"/>
          <w:b/>
        </w:rPr>
        <w:lastRenderedPageBreak/>
        <w:t xml:space="preserve">Candidates </w:t>
      </w:r>
      <w:r w:rsidRPr="00702D2E">
        <w:rPr>
          <w:rFonts w:asciiTheme="majorHAnsi" w:hAnsiTheme="majorHAnsi"/>
        </w:rPr>
        <w:t>(or an individual acting on their behalf)</w:t>
      </w:r>
    </w:p>
    <w:p w:rsidR="00127E3F" w:rsidRPr="00702D2E" w:rsidRDefault="00E44C3D">
      <w:pPr>
        <w:spacing w:after="120" w:line="276" w:lineRule="auto"/>
        <w:jc w:val="both"/>
        <w:rPr>
          <w:rFonts w:asciiTheme="majorHAnsi" w:hAnsiTheme="majorHAnsi"/>
        </w:rPr>
      </w:pPr>
      <w:r w:rsidRPr="00702D2E">
        <w:rPr>
          <w:rFonts w:asciiTheme="majorHAnsi" w:hAnsiTheme="majorHAnsi"/>
        </w:rPr>
        <w:t>In accordance with</w:t>
      </w:r>
      <w:r w:rsidRPr="00702D2E">
        <w:rPr>
          <w:rFonts w:asciiTheme="majorHAnsi" w:eastAsia="Montserrat" w:hAnsiTheme="majorHAnsi" w:cs="Montserrat"/>
        </w:rPr>
        <w:t xml:space="preserve"> </w:t>
      </w:r>
      <w:hyperlink r:id="rId12">
        <w:r w:rsidRPr="00702D2E">
          <w:rPr>
            <w:rFonts w:asciiTheme="majorHAnsi" w:eastAsia="Verdana" w:hAnsiTheme="majorHAnsi" w:cs="Verdana"/>
            <w:color w:val="0563C1"/>
          </w:rPr>
          <w:t xml:space="preserve">JCQ Guidance on the determination of grades for A/AS Levels and GCSEs for </w:t>
        </w:r>
        <w:proofErr w:type="gramStart"/>
        <w:r w:rsidRPr="00702D2E">
          <w:rPr>
            <w:rFonts w:asciiTheme="majorHAnsi" w:eastAsia="Verdana" w:hAnsiTheme="majorHAnsi" w:cs="Verdana"/>
            <w:color w:val="0563C1"/>
          </w:rPr>
          <w:t>Summer</w:t>
        </w:r>
        <w:proofErr w:type="gramEnd"/>
        <w:r w:rsidRPr="00702D2E">
          <w:rPr>
            <w:rFonts w:asciiTheme="majorHAnsi" w:eastAsia="Verdana" w:hAnsiTheme="majorHAnsi" w:cs="Verdana"/>
            <w:color w:val="0563C1"/>
          </w:rPr>
          <w:t xml:space="preserve"> 2021</w:t>
        </w:r>
      </w:hyperlink>
      <w:r w:rsidRPr="00702D2E">
        <w:rPr>
          <w:rFonts w:asciiTheme="majorHAnsi" w:eastAsia="Verdana" w:hAnsiTheme="majorHAnsi" w:cs="Verdana"/>
          <w:color w:val="0C0C0A"/>
        </w:rPr>
        <w:t xml:space="preserve"> </w:t>
      </w:r>
      <w:r w:rsidR="00330BE1" w:rsidRPr="00702D2E">
        <w:rPr>
          <w:rFonts w:asciiTheme="majorHAnsi" w:hAnsiTheme="majorHAnsi"/>
        </w:rPr>
        <w:t xml:space="preserve">each candidate will </w:t>
      </w:r>
      <w:r w:rsidRPr="00702D2E">
        <w:rPr>
          <w:rFonts w:asciiTheme="majorHAnsi" w:hAnsiTheme="majorHAnsi"/>
        </w:rPr>
        <w:t xml:space="preserve">be made aware of the evidence that is going to be used and understand that the range of evidence used to determine a grade is not negotiable. </w:t>
      </w:r>
    </w:p>
    <w:p w:rsidR="00127E3F" w:rsidRPr="00702D2E" w:rsidRDefault="00E44C3D">
      <w:pPr>
        <w:spacing w:after="120" w:line="276" w:lineRule="auto"/>
        <w:jc w:val="both"/>
        <w:rPr>
          <w:rFonts w:asciiTheme="majorHAnsi" w:hAnsiTheme="majorHAnsi"/>
        </w:rPr>
      </w:pPr>
      <w:r w:rsidRPr="00702D2E">
        <w:rPr>
          <w:rFonts w:asciiTheme="majorHAnsi" w:hAnsiTheme="majorHAnsi"/>
        </w:rPr>
        <w:t xml:space="preserve">Where a candidate might attempt to gain </w:t>
      </w:r>
      <w:r w:rsidR="00330BE1" w:rsidRPr="00702D2E">
        <w:rPr>
          <w:rFonts w:asciiTheme="majorHAnsi" w:hAnsiTheme="majorHAnsi"/>
        </w:rPr>
        <w:t>an unfair advantage during the C</w:t>
      </w:r>
      <w:r w:rsidRPr="00702D2E">
        <w:rPr>
          <w:rFonts w:asciiTheme="majorHAnsi" w:hAnsiTheme="majorHAnsi"/>
        </w:rPr>
        <w:t xml:space="preserve">entre’s process on the determination of grades by, for example, submitting fabricated evidence or plagiarised work, or any other act deemed as malpractice in the </w:t>
      </w:r>
      <w:hyperlink r:id="rId13">
        <w:r w:rsidRPr="00702D2E">
          <w:rPr>
            <w:rFonts w:asciiTheme="majorHAnsi" w:eastAsia="Verdana" w:hAnsiTheme="majorHAnsi" w:cs="Verdana"/>
            <w:color w:val="0563C1"/>
          </w:rPr>
          <w:t>JCQ Suspected Malpractice: Policies and Procedures 2020-2021</w:t>
        </w:r>
      </w:hyperlink>
      <w:r w:rsidRPr="00702D2E">
        <w:rPr>
          <w:rFonts w:asciiTheme="majorHAnsi" w:hAnsiTheme="majorHAnsi"/>
        </w:rPr>
        <w:t>, Elizabeth Woodville School will submit a report of suspected candidate malpractice to the relevant awarding body.</w:t>
      </w:r>
    </w:p>
    <w:p w:rsidR="00127E3F" w:rsidRPr="00702D2E" w:rsidRDefault="00E44C3D">
      <w:pPr>
        <w:spacing w:after="120" w:line="276" w:lineRule="auto"/>
        <w:jc w:val="both"/>
        <w:rPr>
          <w:rFonts w:asciiTheme="majorHAnsi" w:hAnsiTheme="majorHAnsi"/>
        </w:rPr>
      </w:pPr>
      <w:r w:rsidRPr="00702D2E">
        <w:rPr>
          <w:rFonts w:asciiTheme="majorHAnsi" w:hAnsiTheme="majorHAnsi"/>
        </w:rPr>
        <w:t>Where a candidate, or an individual acting their behalf such as a parent/carer, might try to influence grade decisio</w:t>
      </w:r>
      <w:r w:rsidR="007924DE" w:rsidRPr="00702D2E">
        <w:rPr>
          <w:rFonts w:asciiTheme="majorHAnsi" w:hAnsiTheme="majorHAnsi"/>
        </w:rPr>
        <w:t>ns by applying pressure to the C</w:t>
      </w:r>
      <w:r w:rsidRPr="00702D2E">
        <w:rPr>
          <w:rFonts w:asciiTheme="majorHAnsi" w:hAnsiTheme="majorHAnsi"/>
        </w:rPr>
        <w:t>entre or any of its staff, Elizabeth Woodville School will keep and retain clear a</w:t>
      </w:r>
      <w:r w:rsidR="007924DE" w:rsidRPr="00702D2E">
        <w:rPr>
          <w:rFonts w:asciiTheme="majorHAnsi" w:hAnsiTheme="majorHAnsi"/>
        </w:rPr>
        <w:t>nd accurate</w:t>
      </w:r>
      <w:r w:rsidRPr="00702D2E">
        <w:rPr>
          <w:rFonts w:asciiTheme="majorHAnsi" w:hAnsiTheme="majorHAnsi"/>
        </w:rPr>
        <w:t xml:space="preserve"> records of the circumstances and the steps taken, and make the candidate aware of the outcome. This will include a record that confirms the candidate had been made aware of the evidence that was going to be used and understand that the range of evidence used to determine a grade was not negotiable. </w:t>
      </w:r>
    </w:p>
    <w:p w:rsidR="00127E3F" w:rsidRPr="00702D2E" w:rsidRDefault="00E44C3D">
      <w:pPr>
        <w:spacing w:after="120" w:line="276" w:lineRule="auto"/>
        <w:jc w:val="both"/>
        <w:rPr>
          <w:rFonts w:asciiTheme="majorHAnsi" w:hAnsiTheme="majorHAnsi"/>
        </w:rPr>
      </w:pPr>
      <w:r w:rsidRPr="00702D2E">
        <w:rPr>
          <w:rFonts w:asciiTheme="majorHAnsi" w:hAnsiTheme="majorHAnsi"/>
        </w:rPr>
        <w:t>However, if a candidate or an individual acting on their behalf continues to inapp</w:t>
      </w:r>
      <w:r w:rsidR="007924DE" w:rsidRPr="00702D2E">
        <w:rPr>
          <w:rFonts w:asciiTheme="majorHAnsi" w:hAnsiTheme="majorHAnsi"/>
        </w:rPr>
        <w:t>ropriately attempt to pressure C</w:t>
      </w:r>
      <w:r w:rsidRPr="00702D2E">
        <w:rPr>
          <w:rFonts w:asciiTheme="majorHAnsi" w:hAnsiTheme="majorHAnsi"/>
        </w:rPr>
        <w:t>entre staff, a report of suspected candidate malpractice will be submitted to the relevant awarding body.</w:t>
      </w:r>
    </w:p>
    <w:p w:rsidR="00127E3F" w:rsidRPr="00702D2E" w:rsidRDefault="00E44C3D">
      <w:pPr>
        <w:spacing w:after="120" w:line="276" w:lineRule="auto"/>
        <w:jc w:val="both"/>
        <w:rPr>
          <w:rFonts w:asciiTheme="majorHAnsi" w:eastAsia="Verdana" w:hAnsiTheme="majorHAnsi" w:cs="Verdana"/>
        </w:rPr>
      </w:pPr>
      <w:r w:rsidRPr="00702D2E">
        <w:rPr>
          <w:rFonts w:asciiTheme="majorHAnsi" w:hAnsiTheme="majorHAnsi"/>
        </w:rPr>
        <w:t xml:space="preserve">A report will be submitted by completing the appropriate documentation as guided by the individual awarding body concerned, including the form </w:t>
      </w:r>
      <w:hyperlink r:id="rId14">
        <w:r w:rsidRPr="00702D2E">
          <w:rPr>
            <w:rFonts w:asciiTheme="majorHAnsi" w:eastAsia="Verdana" w:hAnsiTheme="majorHAnsi" w:cs="Verdana"/>
            <w:color w:val="0563C1"/>
          </w:rPr>
          <w:t>JCQ M1 Report of suspected candidate malpractice</w:t>
        </w:r>
      </w:hyperlink>
      <w:r w:rsidRPr="00702D2E">
        <w:rPr>
          <w:rFonts w:asciiTheme="majorHAnsi" w:eastAsia="Verdana" w:hAnsiTheme="majorHAnsi" w:cs="Verdana"/>
        </w:rPr>
        <w:t xml:space="preserve">. </w:t>
      </w:r>
    </w:p>
    <w:p w:rsidR="00127E3F" w:rsidRPr="00702D2E" w:rsidRDefault="00E44C3D">
      <w:pPr>
        <w:numPr>
          <w:ilvl w:val="0"/>
          <w:numId w:val="4"/>
        </w:numPr>
        <w:pBdr>
          <w:top w:val="nil"/>
          <w:left w:val="nil"/>
          <w:bottom w:val="nil"/>
          <w:right w:val="nil"/>
          <w:between w:val="nil"/>
        </w:pBdr>
        <w:spacing w:line="276" w:lineRule="auto"/>
        <w:jc w:val="both"/>
        <w:rPr>
          <w:rFonts w:asciiTheme="majorHAnsi" w:hAnsiTheme="majorHAnsi"/>
        </w:rPr>
      </w:pPr>
      <w:r w:rsidRPr="00702D2E">
        <w:rPr>
          <w:rFonts w:asciiTheme="majorHAnsi" w:hAnsiTheme="majorHAnsi"/>
          <w:color w:val="000000"/>
        </w:rPr>
        <w:t xml:space="preserve">This form </w:t>
      </w:r>
      <w:r w:rsidRPr="00702D2E">
        <w:rPr>
          <w:rFonts w:asciiTheme="majorHAnsi" w:eastAsia="Times New Roman" w:hAnsiTheme="majorHAnsi" w:cs="Times New Roman"/>
          <w:color w:val="000000"/>
        </w:rPr>
        <w:t>​</w:t>
      </w:r>
      <w:r w:rsidRPr="00702D2E">
        <w:rPr>
          <w:rFonts w:asciiTheme="majorHAnsi" w:hAnsiTheme="majorHAnsi"/>
          <w:color w:val="000000"/>
        </w:rPr>
        <w:t>must</w:t>
      </w:r>
      <w:r w:rsidRPr="00702D2E">
        <w:rPr>
          <w:rFonts w:asciiTheme="majorHAnsi" w:eastAsia="Times New Roman" w:hAnsiTheme="majorHAnsi" w:cs="Times New Roman"/>
          <w:color w:val="000000"/>
        </w:rPr>
        <w:t>​</w:t>
      </w:r>
      <w:r w:rsidRPr="00702D2E">
        <w:rPr>
          <w:rFonts w:asciiTheme="majorHAnsi" w:hAnsiTheme="majorHAnsi"/>
          <w:color w:val="000000"/>
        </w:rPr>
        <w:t xml:space="preserve"> be used by the head of the centre to notify the appropriate awarding body of an instance of suspected candidate malpractice in the conduct of examinations or assessments</w:t>
      </w:r>
    </w:p>
    <w:p w:rsidR="00127E3F" w:rsidRPr="00702D2E" w:rsidRDefault="00E44C3D">
      <w:pPr>
        <w:numPr>
          <w:ilvl w:val="0"/>
          <w:numId w:val="4"/>
        </w:numPr>
        <w:pBdr>
          <w:top w:val="nil"/>
          <w:left w:val="nil"/>
          <w:bottom w:val="nil"/>
          <w:right w:val="nil"/>
          <w:between w:val="nil"/>
        </w:pBdr>
        <w:spacing w:line="276" w:lineRule="auto"/>
        <w:jc w:val="both"/>
        <w:rPr>
          <w:rFonts w:asciiTheme="majorHAnsi" w:hAnsiTheme="majorHAnsi"/>
        </w:rPr>
      </w:pPr>
      <w:r w:rsidRPr="00702D2E">
        <w:rPr>
          <w:rFonts w:asciiTheme="majorHAnsi" w:hAnsiTheme="majorHAnsi"/>
          <w:color w:val="000000"/>
        </w:rPr>
        <w:t>It can also be used to provide a report on investigations into instances of suspected malpractice</w:t>
      </w:r>
    </w:p>
    <w:p w:rsidR="00127E3F" w:rsidRPr="00702D2E" w:rsidRDefault="00E44C3D">
      <w:pPr>
        <w:numPr>
          <w:ilvl w:val="0"/>
          <w:numId w:val="4"/>
        </w:numPr>
        <w:pBdr>
          <w:top w:val="nil"/>
          <w:left w:val="nil"/>
          <w:bottom w:val="nil"/>
          <w:right w:val="nil"/>
          <w:between w:val="nil"/>
        </w:pBdr>
        <w:spacing w:after="120" w:line="276" w:lineRule="auto"/>
        <w:jc w:val="both"/>
        <w:rPr>
          <w:rFonts w:asciiTheme="majorHAnsi" w:hAnsiTheme="majorHAnsi"/>
        </w:rPr>
      </w:pPr>
      <w:r w:rsidRPr="00702D2E">
        <w:rPr>
          <w:rFonts w:asciiTheme="majorHAnsi" w:hAnsiTheme="majorHAnsi"/>
          <w:color w:val="000000"/>
        </w:rPr>
        <w:t>In order to prevent the issue of erroneous results and certificates, it is essential that the awarding body concerned is notified immediately of instances of suspected candidate malpractice</w:t>
      </w:r>
    </w:p>
    <w:p w:rsidR="00127E3F" w:rsidRPr="00702D2E" w:rsidRDefault="00E44C3D">
      <w:pPr>
        <w:spacing w:after="120" w:line="276" w:lineRule="auto"/>
        <w:jc w:val="both"/>
        <w:rPr>
          <w:rFonts w:asciiTheme="majorHAnsi" w:hAnsiTheme="majorHAnsi"/>
          <w:b/>
        </w:rPr>
      </w:pPr>
      <w:r w:rsidRPr="00702D2E">
        <w:rPr>
          <w:rFonts w:asciiTheme="majorHAnsi" w:hAnsiTheme="majorHAnsi"/>
          <w:b/>
        </w:rPr>
        <w:t>Centre staff</w:t>
      </w:r>
    </w:p>
    <w:p w:rsidR="00127E3F" w:rsidRPr="00702D2E" w:rsidRDefault="00E44C3D">
      <w:pPr>
        <w:spacing w:after="120" w:line="276" w:lineRule="auto"/>
        <w:jc w:val="both"/>
        <w:rPr>
          <w:rFonts w:asciiTheme="majorHAnsi" w:hAnsiTheme="majorHAnsi"/>
          <w:color w:val="003399"/>
        </w:rPr>
      </w:pPr>
      <w:r w:rsidRPr="00702D2E">
        <w:rPr>
          <w:rFonts w:asciiTheme="majorHAnsi" w:hAnsiTheme="majorHAnsi"/>
          <w:color w:val="333333"/>
        </w:rPr>
        <w:t xml:space="preserve">Elizabeth Woodville School </w:t>
      </w:r>
      <w:r w:rsidRPr="00702D2E">
        <w:rPr>
          <w:rFonts w:asciiTheme="majorHAnsi" w:hAnsiTheme="majorHAnsi"/>
        </w:rPr>
        <w:t>will report any instances of potential malpractice (which include</w:t>
      </w:r>
      <w:r w:rsidR="00A32AE1" w:rsidRPr="00702D2E">
        <w:rPr>
          <w:rFonts w:asciiTheme="majorHAnsi" w:hAnsiTheme="majorHAnsi"/>
        </w:rPr>
        <w:t>s maladministration) where any C</w:t>
      </w:r>
      <w:r w:rsidRPr="00702D2E">
        <w:rPr>
          <w:rFonts w:asciiTheme="majorHAnsi" w:hAnsiTheme="majorHAnsi"/>
        </w:rPr>
        <w:t>entre staff fail to follow the published requirements for determining grades.</w:t>
      </w:r>
    </w:p>
    <w:p w:rsidR="00127E3F" w:rsidRDefault="00E44C3D">
      <w:pPr>
        <w:spacing w:after="120" w:line="276" w:lineRule="auto"/>
        <w:jc w:val="both"/>
      </w:pPr>
      <w:r w:rsidRPr="00702D2E">
        <w:rPr>
          <w:rFonts w:asciiTheme="majorHAnsi" w:hAnsiTheme="majorHAnsi"/>
        </w:rPr>
        <w:t>Examples of potential malpractice taken from the</w:t>
      </w:r>
      <w:r w:rsidRPr="00702D2E">
        <w:rPr>
          <w:rFonts w:asciiTheme="majorHAnsi" w:eastAsia="Montserrat" w:hAnsiTheme="majorHAnsi" w:cs="Montserrat"/>
        </w:rPr>
        <w:t xml:space="preserve"> </w:t>
      </w:r>
      <w:hyperlink r:id="rId15">
        <w:r w:rsidRPr="00702D2E">
          <w:rPr>
            <w:rFonts w:asciiTheme="majorHAnsi" w:eastAsia="Verdana" w:hAnsiTheme="majorHAnsi" w:cs="Verdana"/>
            <w:color w:val="0563C1"/>
          </w:rPr>
          <w:t>JCQ Guidance on the determination of grades for A</w:t>
        </w:r>
        <w:r w:rsidR="00E6601D" w:rsidRPr="00702D2E">
          <w:rPr>
            <w:rFonts w:asciiTheme="majorHAnsi" w:eastAsia="Verdana" w:hAnsiTheme="majorHAnsi" w:cs="Verdana"/>
            <w:color w:val="0563C1"/>
          </w:rPr>
          <w:t xml:space="preserve">/AS Levels and GCSEs for </w:t>
        </w:r>
        <w:proofErr w:type="gramStart"/>
        <w:r w:rsidR="00E6601D" w:rsidRPr="00702D2E">
          <w:rPr>
            <w:rFonts w:asciiTheme="majorHAnsi" w:eastAsia="Verdana" w:hAnsiTheme="majorHAnsi" w:cs="Verdana"/>
            <w:color w:val="0563C1"/>
          </w:rPr>
          <w:t>Summer</w:t>
        </w:r>
        <w:proofErr w:type="gramEnd"/>
        <w:r w:rsidR="00E6601D" w:rsidRPr="00702D2E">
          <w:rPr>
            <w:rFonts w:asciiTheme="majorHAnsi" w:eastAsia="Verdana" w:hAnsiTheme="majorHAnsi" w:cs="Verdana"/>
            <w:color w:val="0563C1"/>
          </w:rPr>
          <w:t xml:space="preserve"> </w:t>
        </w:r>
        <w:r w:rsidRPr="00702D2E">
          <w:rPr>
            <w:rFonts w:asciiTheme="majorHAnsi" w:eastAsia="Verdana" w:hAnsiTheme="majorHAnsi" w:cs="Verdana"/>
            <w:color w:val="0563C1"/>
          </w:rPr>
          <w:t>2021</w:t>
        </w:r>
      </w:hyperlink>
      <w:r>
        <w:rPr>
          <w:rFonts w:ascii="Verdana" w:eastAsia="Verdana" w:hAnsi="Verdana" w:cs="Verdana"/>
          <w:color w:val="0C0C0A"/>
          <w:sz w:val="20"/>
          <w:szCs w:val="20"/>
        </w:rPr>
        <w:t xml:space="preserve"> </w:t>
      </w:r>
      <w:r>
        <w:t xml:space="preserve">includes but is not limited to: </w:t>
      </w:r>
    </w:p>
    <w:p w:rsidR="00127E3F" w:rsidRPr="006D0428" w:rsidRDefault="00E44C3D">
      <w:pPr>
        <w:numPr>
          <w:ilvl w:val="0"/>
          <w:numId w:val="5"/>
        </w:numPr>
        <w:pBdr>
          <w:top w:val="nil"/>
          <w:left w:val="nil"/>
          <w:bottom w:val="nil"/>
          <w:right w:val="nil"/>
          <w:between w:val="nil"/>
        </w:pBdr>
        <w:spacing w:line="276" w:lineRule="auto"/>
        <w:rPr>
          <w:rFonts w:asciiTheme="majorHAnsi" w:hAnsiTheme="majorHAnsi"/>
        </w:rPr>
      </w:pPr>
      <w:r w:rsidRPr="006D0428">
        <w:rPr>
          <w:rFonts w:asciiTheme="majorHAnsi" w:hAnsiTheme="majorHAnsi"/>
          <w:color w:val="000000"/>
        </w:rPr>
        <w:t>Exam entries are created for students who had not studied the course of entry or had not intended to enter for June 2021</w:t>
      </w:r>
    </w:p>
    <w:p w:rsidR="00127E3F" w:rsidRPr="006D0428" w:rsidRDefault="00E44C3D">
      <w:pPr>
        <w:numPr>
          <w:ilvl w:val="0"/>
          <w:numId w:val="1"/>
        </w:numPr>
        <w:pBdr>
          <w:top w:val="nil"/>
          <w:left w:val="nil"/>
          <w:bottom w:val="nil"/>
          <w:right w:val="nil"/>
          <w:between w:val="nil"/>
        </w:pBdr>
        <w:spacing w:line="276" w:lineRule="auto"/>
        <w:rPr>
          <w:rFonts w:asciiTheme="majorHAnsi" w:hAnsiTheme="majorHAnsi"/>
        </w:rPr>
      </w:pPr>
      <w:r w:rsidRPr="006D0428">
        <w:rPr>
          <w:rFonts w:asciiTheme="majorHAnsi" w:hAnsiTheme="majorHAnsi"/>
          <w:color w:val="000000"/>
        </w:rPr>
        <w:t>Grades created for students who have not been taught sufficient content to provide the basis for that grade</w:t>
      </w:r>
    </w:p>
    <w:p w:rsidR="00127E3F" w:rsidRPr="006D0428" w:rsidRDefault="00E44C3D">
      <w:pPr>
        <w:numPr>
          <w:ilvl w:val="0"/>
          <w:numId w:val="1"/>
        </w:numPr>
        <w:pBdr>
          <w:top w:val="nil"/>
          <w:left w:val="nil"/>
          <w:bottom w:val="nil"/>
          <w:right w:val="nil"/>
          <w:between w:val="nil"/>
        </w:pBdr>
        <w:spacing w:line="276" w:lineRule="auto"/>
        <w:rPr>
          <w:rFonts w:asciiTheme="majorHAnsi" w:hAnsiTheme="majorHAnsi"/>
        </w:rPr>
      </w:pPr>
      <w:r w:rsidRPr="006D0428">
        <w:rPr>
          <w:rFonts w:asciiTheme="majorHAnsi" w:hAnsiTheme="majorHAnsi"/>
          <w:color w:val="000000"/>
        </w:rPr>
        <w:t>A teacher deliberately and in</w:t>
      </w:r>
      <w:r w:rsidR="00A91971" w:rsidRPr="006D0428">
        <w:rPr>
          <w:rFonts w:asciiTheme="majorHAnsi" w:hAnsiTheme="majorHAnsi"/>
          <w:color w:val="000000"/>
        </w:rPr>
        <w:t>appropriately disregarding the C</w:t>
      </w:r>
      <w:r w:rsidRPr="006D0428">
        <w:rPr>
          <w:rFonts w:asciiTheme="majorHAnsi" w:hAnsiTheme="majorHAnsi"/>
          <w:color w:val="000000"/>
        </w:rPr>
        <w:t>entre’s published policy when determining grades</w:t>
      </w:r>
    </w:p>
    <w:p w:rsidR="00127E3F" w:rsidRPr="006D0428" w:rsidRDefault="00E44C3D">
      <w:pPr>
        <w:numPr>
          <w:ilvl w:val="0"/>
          <w:numId w:val="1"/>
        </w:numPr>
        <w:pBdr>
          <w:top w:val="nil"/>
          <w:left w:val="nil"/>
          <w:bottom w:val="nil"/>
          <w:right w:val="nil"/>
          <w:between w:val="nil"/>
        </w:pBdr>
        <w:spacing w:line="276" w:lineRule="auto"/>
        <w:rPr>
          <w:rFonts w:asciiTheme="majorHAnsi" w:hAnsiTheme="majorHAnsi"/>
        </w:rPr>
      </w:pPr>
      <w:r w:rsidRPr="006D0428">
        <w:rPr>
          <w:rFonts w:asciiTheme="majorHAnsi" w:hAnsiTheme="majorHAnsi"/>
          <w:color w:val="000000"/>
        </w:rPr>
        <w:t>A teacher fabricating evidence of candidate performance to support an inflated grade</w:t>
      </w:r>
    </w:p>
    <w:p w:rsidR="00127E3F" w:rsidRPr="006D0428" w:rsidRDefault="00E44C3D">
      <w:pPr>
        <w:numPr>
          <w:ilvl w:val="0"/>
          <w:numId w:val="1"/>
        </w:numPr>
        <w:pBdr>
          <w:top w:val="nil"/>
          <w:left w:val="nil"/>
          <w:bottom w:val="nil"/>
          <w:right w:val="nil"/>
          <w:between w:val="nil"/>
        </w:pBdr>
        <w:spacing w:line="276" w:lineRule="auto"/>
        <w:rPr>
          <w:rFonts w:asciiTheme="majorHAnsi" w:hAnsiTheme="majorHAnsi"/>
        </w:rPr>
      </w:pPr>
      <w:r w:rsidRPr="006D0428">
        <w:rPr>
          <w:rFonts w:asciiTheme="majorHAnsi" w:hAnsiTheme="majorHAnsi"/>
          <w:color w:val="000000"/>
        </w:rPr>
        <w:t>A teacher deliberately providing inappropriate levels of support before or during an assessment, including deliberate disclosure of mark schemes and assessment materials, to support an inflated grade</w:t>
      </w:r>
    </w:p>
    <w:p w:rsidR="00127E3F" w:rsidRPr="006D0428" w:rsidRDefault="00E44C3D">
      <w:pPr>
        <w:numPr>
          <w:ilvl w:val="0"/>
          <w:numId w:val="1"/>
        </w:numPr>
        <w:pBdr>
          <w:top w:val="nil"/>
          <w:left w:val="nil"/>
          <w:bottom w:val="nil"/>
          <w:right w:val="nil"/>
          <w:between w:val="nil"/>
        </w:pBdr>
        <w:spacing w:line="276" w:lineRule="auto"/>
        <w:rPr>
          <w:rFonts w:asciiTheme="majorHAnsi" w:hAnsiTheme="majorHAnsi"/>
        </w:rPr>
      </w:pPr>
      <w:r w:rsidRPr="006D0428">
        <w:rPr>
          <w:rFonts w:asciiTheme="majorHAnsi" w:hAnsiTheme="majorHAnsi"/>
          <w:color w:val="000000"/>
        </w:rPr>
        <w:t>A teacher intentionally submitting inflated grades</w:t>
      </w:r>
    </w:p>
    <w:p w:rsidR="00127E3F" w:rsidRPr="006D0428" w:rsidRDefault="00E44C3D">
      <w:pPr>
        <w:numPr>
          <w:ilvl w:val="0"/>
          <w:numId w:val="1"/>
        </w:numPr>
        <w:pBdr>
          <w:top w:val="nil"/>
          <w:left w:val="nil"/>
          <w:bottom w:val="nil"/>
          <w:right w:val="nil"/>
          <w:between w:val="nil"/>
        </w:pBdr>
        <w:spacing w:line="276" w:lineRule="auto"/>
        <w:rPr>
          <w:rFonts w:asciiTheme="majorHAnsi" w:hAnsiTheme="majorHAnsi"/>
        </w:rPr>
      </w:pPr>
      <w:r w:rsidRPr="006D0428">
        <w:rPr>
          <w:rFonts w:asciiTheme="majorHAnsi" w:hAnsiTheme="majorHAnsi"/>
          <w:color w:val="000000"/>
        </w:rPr>
        <w:lastRenderedPageBreak/>
        <w:t>A failure to retain evidence used in the determination of grades in accordance with the JCQ Grading guidance</w:t>
      </w:r>
    </w:p>
    <w:p w:rsidR="00127E3F" w:rsidRPr="006D0428" w:rsidRDefault="00E44C3D">
      <w:pPr>
        <w:numPr>
          <w:ilvl w:val="0"/>
          <w:numId w:val="1"/>
        </w:numPr>
        <w:pBdr>
          <w:top w:val="nil"/>
          <w:left w:val="nil"/>
          <w:bottom w:val="nil"/>
          <w:right w:val="nil"/>
          <w:between w:val="nil"/>
        </w:pBdr>
        <w:spacing w:line="276" w:lineRule="auto"/>
        <w:rPr>
          <w:rFonts w:asciiTheme="majorHAnsi" w:hAnsiTheme="majorHAnsi"/>
        </w:rPr>
      </w:pPr>
      <w:r w:rsidRPr="006D0428">
        <w:rPr>
          <w:rFonts w:asciiTheme="majorHAnsi" w:hAnsiTheme="majorHAnsi"/>
          <w:color w:val="000000"/>
        </w:rPr>
        <w:t>A system</w:t>
      </w:r>
      <w:r w:rsidR="00842354" w:rsidRPr="006D0428">
        <w:rPr>
          <w:rFonts w:asciiTheme="majorHAnsi" w:hAnsiTheme="majorHAnsi"/>
          <w:color w:val="000000"/>
        </w:rPr>
        <w:t>at</w:t>
      </w:r>
      <w:r w:rsidR="00F13B94" w:rsidRPr="006D0428">
        <w:rPr>
          <w:rFonts w:asciiTheme="majorHAnsi" w:hAnsiTheme="majorHAnsi"/>
          <w:color w:val="000000"/>
        </w:rPr>
        <w:t>ic failure to follow the C</w:t>
      </w:r>
      <w:r w:rsidRPr="006D0428">
        <w:rPr>
          <w:rFonts w:asciiTheme="majorHAnsi" w:hAnsiTheme="majorHAnsi"/>
          <w:color w:val="000000"/>
        </w:rPr>
        <w:t xml:space="preserve">entre’s policy in relation to the application of Access Arrangements or Special Consideration arrangements for students in relation to assessments used to determine grades </w:t>
      </w:r>
    </w:p>
    <w:p w:rsidR="00127E3F" w:rsidRPr="006D0428" w:rsidRDefault="00E44C3D">
      <w:pPr>
        <w:numPr>
          <w:ilvl w:val="0"/>
          <w:numId w:val="1"/>
        </w:numPr>
        <w:pBdr>
          <w:top w:val="nil"/>
          <w:left w:val="nil"/>
          <w:bottom w:val="nil"/>
          <w:right w:val="nil"/>
          <w:between w:val="nil"/>
        </w:pBdr>
        <w:spacing w:line="276" w:lineRule="auto"/>
        <w:rPr>
          <w:rFonts w:asciiTheme="majorHAnsi" w:hAnsiTheme="majorHAnsi"/>
        </w:rPr>
      </w:pPr>
      <w:r w:rsidRPr="006D0428">
        <w:rPr>
          <w:rFonts w:asciiTheme="majorHAnsi" w:hAnsiTheme="majorHAnsi"/>
          <w:color w:val="000000"/>
        </w:rPr>
        <w:t>A failure to take reasonable steps to authenticate student work</w:t>
      </w:r>
      <w:r w:rsidRPr="006D0428">
        <w:rPr>
          <w:rFonts w:asciiTheme="majorHAnsi" w:hAnsiTheme="majorHAnsi"/>
          <w:color w:val="000000"/>
        </w:rPr>
        <w:br/>
        <w:t>A failure to appropriately manage Conflicts of Interest (COIs) within a centre</w:t>
      </w:r>
    </w:p>
    <w:p w:rsidR="00127E3F" w:rsidRPr="006D0428" w:rsidRDefault="00E44C3D">
      <w:pPr>
        <w:numPr>
          <w:ilvl w:val="0"/>
          <w:numId w:val="1"/>
        </w:numPr>
        <w:pBdr>
          <w:top w:val="nil"/>
          <w:left w:val="nil"/>
          <w:bottom w:val="nil"/>
          <w:right w:val="nil"/>
          <w:between w:val="nil"/>
        </w:pBdr>
        <w:spacing w:line="276" w:lineRule="auto"/>
        <w:rPr>
          <w:rFonts w:asciiTheme="majorHAnsi" w:hAnsiTheme="majorHAnsi"/>
        </w:rPr>
      </w:pPr>
      <w:r w:rsidRPr="006D0428">
        <w:rPr>
          <w:rFonts w:asciiTheme="majorHAnsi" w:hAnsiTheme="majorHAnsi"/>
          <w:color w:val="000000"/>
        </w:rPr>
        <w:t>A Head of Centre’s failure to submit the required declaration when submitting their grades</w:t>
      </w:r>
    </w:p>
    <w:p w:rsidR="00127E3F" w:rsidRPr="006D0428" w:rsidRDefault="00E44C3D">
      <w:pPr>
        <w:numPr>
          <w:ilvl w:val="0"/>
          <w:numId w:val="1"/>
        </w:numPr>
        <w:pBdr>
          <w:top w:val="nil"/>
          <w:left w:val="nil"/>
          <w:bottom w:val="nil"/>
          <w:right w:val="nil"/>
          <w:between w:val="nil"/>
        </w:pBdr>
        <w:spacing w:line="276" w:lineRule="auto"/>
        <w:rPr>
          <w:rFonts w:asciiTheme="majorHAnsi" w:hAnsiTheme="majorHAnsi"/>
        </w:rPr>
      </w:pPr>
      <w:r w:rsidRPr="006D0428">
        <w:rPr>
          <w:rFonts w:asciiTheme="majorHAnsi" w:hAnsiTheme="majorHAnsi"/>
          <w:color w:val="000000"/>
        </w:rPr>
        <w:t>Grades being released to students (or their parents/carers) before the issue of results</w:t>
      </w:r>
      <w:r w:rsidRPr="006D0428">
        <w:rPr>
          <w:rFonts w:asciiTheme="majorHAnsi" w:hAnsiTheme="majorHAnsi"/>
          <w:color w:val="000000"/>
          <w:vertAlign w:val="superscript"/>
        </w:rPr>
        <w:footnoteReference w:id="1"/>
      </w:r>
      <w:r w:rsidRPr="006D0428">
        <w:rPr>
          <w:rFonts w:asciiTheme="majorHAnsi" w:hAnsiTheme="majorHAnsi"/>
          <w:color w:val="000000"/>
        </w:rPr>
        <w:t xml:space="preserve"> </w:t>
      </w:r>
    </w:p>
    <w:p w:rsidR="00127E3F" w:rsidRPr="006D0428" w:rsidRDefault="00E44C3D">
      <w:pPr>
        <w:numPr>
          <w:ilvl w:val="0"/>
          <w:numId w:val="1"/>
        </w:numPr>
        <w:spacing w:line="276" w:lineRule="auto"/>
        <w:rPr>
          <w:rFonts w:asciiTheme="majorHAnsi" w:hAnsiTheme="majorHAnsi"/>
        </w:rPr>
      </w:pPr>
      <w:r w:rsidRPr="006D0428">
        <w:rPr>
          <w:rFonts w:asciiTheme="majorHAnsi" w:hAnsiTheme="majorHAnsi"/>
        </w:rPr>
        <w:t>Failure to cooperate with an awarding body’s quality assurance, appeal or investigation processes</w:t>
      </w:r>
    </w:p>
    <w:p w:rsidR="00127E3F" w:rsidRPr="006D0428" w:rsidRDefault="00E44C3D">
      <w:pPr>
        <w:numPr>
          <w:ilvl w:val="0"/>
          <w:numId w:val="1"/>
        </w:numPr>
        <w:spacing w:line="276" w:lineRule="auto"/>
        <w:rPr>
          <w:rFonts w:asciiTheme="majorHAnsi" w:hAnsiTheme="majorHAnsi"/>
        </w:rPr>
      </w:pPr>
      <w:r w:rsidRPr="006D0428">
        <w:rPr>
          <w:rFonts w:asciiTheme="majorHAnsi" w:hAnsiTheme="majorHAnsi"/>
        </w:rPr>
        <w:t>Failure to conduct a centre review or submit an appeal when requested to do so by a student</w:t>
      </w:r>
    </w:p>
    <w:p w:rsidR="00127E3F" w:rsidRPr="006D0428" w:rsidRDefault="00E44C3D">
      <w:pPr>
        <w:spacing w:before="120" w:after="120" w:line="276" w:lineRule="auto"/>
        <w:rPr>
          <w:rFonts w:asciiTheme="majorHAnsi" w:eastAsia="Verdana" w:hAnsiTheme="majorHAnsi" w:cs="Verdana"/>
        </w:rPr>
      </w:pPr>
      <w:r w:rsidRPr="006D0428">
        <w:rPr>
          <w:rFonts w:asciiTheme="majorHAnsi" w:hAnsiTheme="majorHAnsi"/>
        </w:rPr>
        <w:t xml:space="preserve">A report will be submitted by completing the appropriate documentation as guided by the individual awarding body concerned, including the form </w:t>
      </w:r>
      <w:hyperlink r:id="rId16">
        <w:r w:rsidRPr="006D0428">
          <w:rPr>
            <w:rFonts w:asciiTheme="majorHAnsi" w:eastAsia="Verdana" w:hAnsiTheme="majorHAnsi" w:cs="Verdana"/>
            <w:color w:val="0563C1"/>
          </w:rPr>
          <w:t>JCQ M2 Notification of suspected malpractice / maladministration involving centre staff</w:t>
        </w:r>
      </w:hyperlink>
      <w:r w:rsidRPr="006D0428">
        <w:rPr>
          <w:rFonts w:asciiTheme="majorHAnsi" w:eastAsia="Verdana" w:hAnsiTheme="majorHAnsi" w:cs="Verdana"/>
        </w:rPr>
        <w:t>.</w:t>
      </w:r>
    </w:p>
    <w:p w:rsidR="00127E3F" w:rsidRPr="006D0428" w:rsidRDefault="00E44C3D">
      <w:pPr>
        <w:numPr>
          <w:ilvl w:val="0"/>
          <w:numId w:val="5"/>
        </w:numPr>
        <w:pBdr>
          <w:top w:val="nil"/>
          <w:left w:val="nil"/>
          <w:bottom w:val="nil"/>
          <w:right w:val="nil"/>
          <w:between w:val="nil"/>
        </w:pBdr>
        <w:spacing w:before="120" w:line="276" w:lineRule="auto"/>
        <w:rPr>
          <w:rFonts w:asciiTheme="majorHAnsi" w:hAnsiTheme="majorHAnsi"/>
        </w:rPr>
      </w:pPr>
      <w:r w:rsidRPr="006D0428">
        <w:rPr>
          <w:rFonts w:asciiTheme="majorHAnsi" w:hAnsiTheme="majorHAnsi"/>
          <w:color w:val="000000"/>
        </w:rPr>
        <w:t>This</w:t>
      </w:r>
      <w:r w:rsidR="0001051F" w:rsidRPr="006D0428">
        <w:rPr>
          <w:rFonts w:asciiTheme="majorHAnsi" w:hAnsiTheme="majorHAnsi"/>
          <w:color w:val="000000"/>
        </w:rPr>
        <w:t xml:space="preserve"> form must be completed by the Head of C</w:t>
      </w:r>
      <w:r w:rsidRPr="006D0428">
        <w:rPr>
          <w:rFonts w:asciiTheme="majorHAnsi" w:hAnsiTheme="majorHAnsi"/>
          <w:color w:val="000000"/>
        </w:rPr>
        <w:t>entre before an investigation commences to notify an awarding body of an instance of alleged, suspected or actual malpractice or maladministration</w:t>
      </w:r>
    </w:p>
    <w:p w:rsidR="00127E3F" w:rsidRPr="006D0428" w:rsidRDefault="00E44C3D">
      <w:pPr>
        <w:numPr>
          <w:ilvl w:val="0"/>
          <w:numId w:val="5"/>
        </w:numPr>
        <w:pBdr>
          <w:top w:val="nil"/>
          <w:left w:val="nil"/>
          <w:bottom w:val="nil"/>
          <w:right w:val="nil"/>
          <w:between w:val="nil"/>
        </w:pBdr>
        <w:spacing w:after="120" w:line="276" w:lineRule="auto"/>
        <w:rPr>
          <w:rFonts w:asciiTheme="majorHAnsi" w:hAnsiTheme="majorHAnsi"/>
        </w:rPr>
      </w:pPr>
      <w:r w:rsidRPr="006D0428">
        <w:rPr>
          <w:rFonts w:asciiTheme="majorHAnsi" w:hAnsiTheme="majorHAnsi"/>
          <w:color w:val="000000"/>
        </w:rPr>
        <w:t>The form must be completed and submitted to the appropriate awarding body immediately a suspicion is raised or an allegation received</w:t>
      </w:r>
    </w:p>
    <w:p w:rsidR="00127E3F" w:rsidRPr="006D0428" w:rsidRDefault="00127E3F">
      <w:pPr>
        <w:spacing w:before="120" w:after="120" w:line="276" w:lineRule="auto"/>
        <w:jc w:val="both"/>
        <w:rPr>
          <w:rFonts w:asciiTheme="majorHAnsi" w:hAnsiTheme="majorHAnsi"/>
          <w:b/>
        </w:rPr>
      </w:pPr>
    </w:p>
    <w:sectPr w:rsidR="00127E3F" w:rsidRPr="006D0428">
      <w:headerReference w:type="first" r:id="rId17"/>
      <w:footerReference w:type="first" r:id="rId18"/>
      <w:pgSz w:w="11900" w:h="16840"/>
      <w:pgMar w:top="1440" w:right="1080" w:bottom="1440" w:left="1080"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A8" w:rsidRDefault="00E44C3D">
      <w:r>
        <w:separator/>
      </w:r>
    </w:p>
  </w:endnote>
  <w:endnote w:type="continuationSeparator" w:id="0">
    <w:p w:rsidR="002A21A8" w:rsidRDefault="00E4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3F" w:rsidRDefault="00127E3F">
    <w:pPr>
      <w:pBdr>
        <w:top w:val="nil"/>
        <w:left w:val="nil"/>
        <w:bottom w:val="nil"/>
        <w:right w:val="nil"/>
        <w:between w:val="nil"/>
      </w:pBdr>
      <w:tabs>
        <w:tab w:val="center" w:pos="4513"/>
        <w:tab w:val="right" w:pos="9026"/>
      </w:tabs>
      <w:jc w:val="right"/>
      <w:rPr>
        <w:color w:val="003399"/>
        <w:sz w:val="18"/>
        <w:szCs w:val="18"/>
      </w:rPr>
    </w:pPr>
  </w:p>
  <w:p w:rsidR="00127E3F" w:rsidRDefault="00127E3F">
    <w:pPr>
      <w:pBdr>
        <w:top w:val="nil"/>
        <w:left w:val="nil"/>
        <w:bottom w:val="nil"/>
        <w:right w:val="nil"/>
        <w:between w:val="nil"/>
      </w:pBdr>
      <w:tabs>
        <w:tab w:val="center" w:pos="4513"/>
        <w:tab w:val="right" w:pos="9026"/>
      </w:tabs>
      <w:jc w:val="right"/>
      <w:rPr>
        <w:color w:val="0033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A8" w:rsidRDefault="00E44C3D">
      <w:r>
        <w:separator/>
      </w:r>
    </w:p>
  </w:footnote>
  <w:footnote w:type="continuationSeparator" w:id="0">
    <w:p w:rsidR="002A21A8" w:rsidRDefault="00E44C3D">
      <w:r>
        <w:continuationSeparator/>
      </w:r>
    </w:p>
  </w:footnote>
  <w:footnote w:id="1">
    <w:p w:rsidR="00127E3F" w:rsidRDefault="00E44C3D">
      <w:pPr>
        <w:rPr>
          <w:rFonts w:ascii="Verdana" w:eastAsia="Verdana" w:hAnsi="Verdana" w:cs="Verdana"/>
          <w:sz w:val="18"/>
          <w:szCs w:val="18"/>
        </w:rPr>
      </w:pPr>
      <w:r>
        <w:rPr>
          <w:vertAlign w:val="superscript"/>
        </w:rPr>
        <w:footnoteRef/>
      </w:r>
      <w:r>
        <w:rPr>
          <w:rFonts w:ascii="Verdana" w:eastAsia="Verdana" w:hAnsi="Verdana" w:cs="Verdana"/>
          <w:sz w:val="18"/>
          <w:szCs w:val="18"/>
        </w:rPr>
        <w:t xml:space="preserve"> (variations to this requirement exist in Wales) For WJEC qualifications, centres are required to release provisional CDGs to candidates prior to submission to WJEC - please see WJEC’s </w:t>
      </w:r>
      <w:r>
        <w:rPr>
          <w:rFonts w:ascii="Verdana" w:eastAsia="Verdana" w:hAnsi="Verdana" w:cs="Verdana"/>
          <w:i/>
          <w:sz w:val="18"/>
          <w:szCs w:val="18"/>
        </w:rPr>
        <w:t xml:space="preserve">High Level guidance on the centre review and WJEC appeals process Summer 2021 </w:t>
      </w:r>
      <w:r>
        <w:rPr>
          <w:rFonts w:ascii="Verdana" w:eastAsia="Verdana" w:hAnsi="Verdana" w:cs="Verdana"/>
          <w:sz w:val="18"/>
          <w:szCs w:val="18"/>
        </w:rPr>
        <w:t xml:space="preserve">document see www.wjec.co.uk </w:t>
      </w:r>
    </w:p>
    <w:p w:rsidR="00127E3F" w:rsidRDefault="00127E3F">
      <w:pPr>
        <w:pBdr>
          <w:top w:val="nil"/>
          <w:left w:val="nil"/>
          <w:bottom w:val="nil"/>
          <w:right w:val="nil"/>
          <w:between w:val="nil"/>
        </w:pBdr>
        <w:rPr>
          <w:rFonts w:ascii="Calibri" w:eastAsia="Calibri" w:hAnsi="Calibri" w:cs="Calibri"/>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6B" w:rsidRDefault="00FD4A6B">
    <w:pPr>
      <w:pStyle w:val="Header"/>
    </w:pPr>
    <w:r>
      <w:rPr>
        <w:noProof/>
      </w:rPr>
      <w:drawing>
        <wp:inline distT="0" distB="0" distL="0" distR="0" wp14:anchorId="0F12C59B">
          <wp:extent cx="1481455" cy="57277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572770"/>
                  </a:xfrm>
                  <a:prstGeom prst="rect">
                    <a:avLst/>
                  </a:prstGeom>
                  <a:noFill/>
                </pic:spPr>
              </pic:pic>
            </a:graphicData>
          </a:graphic>
        </wp:inline>
      </w:drawing>
    </w:r>
    <w:r>
      <w:t xml:space="preserve">                                                                                             </w:t>
    </w:r>
    <w:r>
      <w:rPr>
        <w:noProof/>
      </w:rPr>
      <w:drawing>
        <wp:inline distT="0" distB="0" distL="0" distR="0" wp14:anchorId="1C1AC614">
          <wp:extent cx="1286510" cy="63373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6337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2C3"/>
    <w:multiLevelType w:val="multilevel"/>
    <w:tmpl w:val="3482AE20"/>
    <w:lvl w:ilvl="0">
      <w:start w:val="1"/>
      <w:numFmt w:val="bullet"/>
      <w:lvlText w:val="●"/>
      <w:lvlJc w:val="left"/>
      <w:pPr>
        <w:ind w:left="720" w:hanging="360"/>
      </w:pPr>
      <w:rPr>
        <w:rFonts w:ascii="Noto Sans Symbols" w:eastAsia="Noto Sans Symbols" w:hAnsi="Noto Sans Symbols" w:cs="Noto Sans Symbols"/>
        <w:color w:val="00339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AC2035F"/>
    <w:multiLevelType w:val="multilevel"/>
    <w:tmpl w:val="FE7C6BC2"/>
    <w:lvl w:ilvl="0">
      <w:start w:val="1"/>
      <w:numFmt w:val="bullet"/>
      <w:lvlText w:val="●"/>
      <w:lvlJc w:val="left"/>
      <w:pPr>
        <w:ind w:left="720" w:hanging="360"/>
      </w:pPr>
      <w:rPr>
        <w:rFonts w:ascii="Noto Sans Symbols" w:eastAsia="Noto Sans Symbols" w:hAnsi="Noto Sans Symbols" w:cs="Noto Sans Symbols"/>
        <w:color w:val="003399"/>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6F62D1C"/>
    <w:multiLevelType w:val="multilevel"/>
    <w:tmpl w:val="6AACB832"/>
    <w:lvl w:ilvl="0">
      <w:start w:val="1"/>
      <w:numFmt w:val="bullet"/>
      <w:lvlText w:val="●"/>
      <w:lvlJc w:val="left"/>
      <w:pPr>
        <w:ind w:left="720" w:hanging="360"/>
      </w:pPr>
      <w:rPr>
        <w:rFonts w:ascii="Noto Sans Symbols" w:eastAsia="Noto Sans Symbols" w:hAnsi="Noto Sans Symbols" w:cs="Noto Sans Symbols"/>
        <w:color w:val="003399"/>
      </w:rPr>
    </w:lvl>
    <w:lvl w:ilvl="1">
      <w:start w:val="1"/>
      <w:numFmt w:val="bullet"/>
      <w:lvlText w:val="o"/>
      <w:lvlJc w:val="left"/>
      <w:pPr>
        <w:ind w:left="1440" w:hanging="360"/>
      </w:pPr>
      <w:rPr>
        <w:rFonts w:ascii="Courier New" w:eastAsia="Courier New" w:hAnsi="Courier New" w:cs="Courier New"/>
        <w:color w:val="FF33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D0108BC"/>
    <w:multiLevelType w:val="multilevel"/>
    <w:tmpl w:val="7392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FF33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35D07DD"/>
    <w:multiLevelType w:val="multilevel"/>
    <w:tmpl w:val="C3260A50"/>
    <w:lvl w:ilvl="0">
      <w:start w:val="1"/>
      <w:numFmt w:val="bullet"/>
      <w:lvlText w:val="●"/>
      <w:lvlJc w:val="left"/>
      <w:pPr>
        <w:ind w:left="720" w:hanging="360"/>
      </w:pPr>
      <w:rPr>
        <w:rFonts w:ascii="Noto Sans Symbols" w:eastAsia="Noto Sans Symbols" w:hAnsi="Noto Sans Symbols" w:cs="Noto Sans Symbols"/>
        <w:color w:val="003399"/>
      </w:rPr>
    </w:lvl>
    <w:lvl w:ilvl="1">
      <w:start w:val="1"/>
      <w:numFmt w:val="bullet"/>
      <w:lvlText w:val="o"/>
      <w:lvlJc w:val="left"/>
      <w:pPr>
        <w:ind w:left="1440" w:hanging="360"/>
      </w:pPr>
      <w:rPr>
        <w:rFonts w:ascii="Courier New" w:eastAsia="Courier New" w:hAnsi="Courier New" w:cs="Courier New"/>
        <w:color w:val="FF33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127E3F"/>
    <w:rsid w:val="0001051F"/>
    <w:rsid w:val="00127E3F"/>
    <w:rsid w:val="00254E57"/>
    <w:rsid w:val="002A21A8"/>
    <w:rsid w:val="00330BE1"/>
    <w:rsid w:val="003F7E5D"/>
    <w:rsid w:val="004253EC"/>
    <w:rsid w:val="004E7040"/>
    <w:rsid w:val="005C08A9"/>
    <w:rsid w:val="006D0428"/>
    <w:rsid w:val="006D5521"/>
    <w:rsid w:val="00702D2E"/>
    <w:rsid w:val="007206AB"/>
    <w:rsid w:val="007924DE"/>
    <w:rsid w:val="00842354"/>
    <w:rsid w:val="009553BD"/>
    <w:rsid w:val="00A32AE1"/>
    <w:rsid w:val="00A91971"/>
    <w:rsid w:val="00E44C3D"/>
    <w:rsid w:val="00E6601D"/>
    <w:rsid w:val="00F13B94"/>
    <w:rsid w:val="00FD4A6B"/>
    <w:rsid w:val="00FF1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Rockwell" w:hAnsi="Rockwell" w:cs="Rockwel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D4A6B"/>
    <w:rPr>
      <w:rFonts w:ascii="Tahoma" w:hAnsi="Tahoma" w:cs="Tahoma"/>
      <w:sz w:val="16"/>
      <w:szCs w:val="16"/>
    </w:rPr>
  </w:style>
  <w:style w:type="character" w:customStyle="1" w:styleId="BalloonTextChar">
    <w:name w:val="Balloon Text Char"/>
    <w:basedOn w:val="DefaultParagraphFont"/>
    <w:link w:val="BalloonText"/>
    <w:uiPriority w:val="99"/>
    <w:semiHidden/>
    <w:rsid w:val="00FD4A6B"/>
    <w:rPr>
      <w:rFonts w:ascii="Tahoma" w:hAnsi="Tahoma" w:cs="Tahoma"/>
      <w:sz w:val="16"/>
      <w:szCs w:val="16"/>
    </w:rPr>
  </w:style>
  <w:style w:type="paragraph" w:styleId="Header">
    <w:name w:val="header"/>
    <w:basedOn w:val="Normal"/>
    <w:link w:val="HeaderChar"/>
    <w:uiPriority w:val="99"/>
    <w:unhideWhenUsed/>
    <w:rsid w:val="00FD4A6B"/>
    <w:pPr>
      <w:tabs>
        <w:tab w:val="center" w:pos="4513"/>
        <w:tab w:val="right" w:pos="9026"/>
      </w:tabs>
    </w:pPr>
  </w:style>
  <w:style w:type="character" w:customStyle="1" w:styleId="HeaderChar">
    <w:name w:val="Header Char"/>
    <w:basedOn w:val="DefaultParagraphFont"/>
    <w:link w:val="Header"/>
    <w:uiPriority w:val="99"/>
    <w:rsid w:val="00FD4A6B"/>
  </w:style>
  <w:style w:type="paragraph" w:styleId="Footer">
    <w:name w:val="footer"/>
    <w:basedOn w:val="Normal"/>
    <w:link w:val="FooterChar"/>
    <w:uiPriority w:val="99"/>
    <w:unhideWhenUsed/>
    <w:rsid w:val="00FD4A6B"/>
    <w:pPr>
      <w:tabs>
        <w:tab w:val="center" w:pos="4513"/>
        <w:tab w:val="right" w:pos="9026"/>
      </w:tabs>
    </w:pPr>
  </w:style>
  <w:style w:type="character" w:customStyle="1" w:styleId="FooterChar">
    <w:name w:val="Footer Char"/>
    <w:basedOn w:val="DefaultParagraphFont"/>
    <w:link w:val="Footer"/>
    <w:uiPriority w:val="99"/>
    <w:rsid w:val="00FD4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Rockwell" w:hAnsi="Rockwell" w:cs="Rockwel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D4A6B"/>
    <w:rPr>
      <w:rFonts w:ascii="Tahoma" w:hAnsi="Tahoma" w:cs="Tahoma"/>
      <w:sz w:val="16"/>
      <w:szCs w:val="16"/>
    </w:rPr>
  </w:style>
  <w:style w:type="character" w:customStyle="1" w:styleId="BalloonTextChar">
    <w:name w:val="Balloon Text Char"/>
    <w:basedOn w:val="DefaultParagraphFont"/>
    <w:link w:val="BalloonText"/>
    <w:uiPriority w:val="99"/>
    <w:semiHidden/>
    <w:rsid w:val="00FD4A6B"/>
    <w:rPr>
      <w:rFonts w:ascii="Tahoma" w:hAnsi="Tahoma" w:cs="Tahoma"/>
      <w:sz w:val="16"/>
      <w:szCs w:val="16"/>
    </w:rPr>
  </w:style>
  <w:style w:type="paragraph" w:styleId="Header">
    <w:name w:val="header"/>
    <w:basedOn w:val="Normal"/>
    <w:link w:val="HeaderChar"/>
    <w:uiPriority w:val="99"/>
    <w:unhideWhenUsed/>
    <w:rsid w:val="00FD4A6B"/>
    <w:pPr>
      <w:tabs>
        <w:tab w:val="center" w:pos="4513"/>
        <w:tab w:val="right" w:pos="9026"/>
      </w:tabs>
    </w:pPr>
  </w:style>
  <w:style w:type="character" w:customStyle="1" w:styleId="HeaderChar">
    <w:name w:val="Header Char"/>
    <w:basedOn w:val="DefaultParagraphFont"/>
    <w:link w:val="Header"/>
    <w:uiPriority w:val="99"/>
    <w:rsid w:val="00FD4A6B"/>
  </w:style>
  <w:style w:type="paragraph" w:styleId="Footer">
    <w:name w:val="footer"/>
    <w:basedOn w:val="Normal"/>
    <w:link w:val="FooterChar"/>
    <w:uiPriority w:val="99"/>
    <w:unhideWhenUsed/>
    <w:rsid w:val="00FD4A6B"/>
    <w:pPr>
      <w:tabs>
        <w:tab w:val="center" w:pos="4513"/>
        <w:tab w:val="right" w:pos="9026"/>
      </w:tabs>
    </w:pPr>
  </w:style>
  <w:style w:type="character" w:customStyle="1" w:styleId="FooterChar">
    <w:name w:val="Footer Char"/>
    <w:basedOn w:val="DefaultParagraphFont"/>
    <w:link w:val="Footer"/>
    <w:uiPriority w:val="99"/>
    <w:rsid w:val="00FD4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jcq.org.uk/exams-office/general-regulations/" TargetMode="External"/><Relationship Id="rId13" Type="http://schemas.openxmlformats.org/officeDocument/2006/relationships/hyperlink" Target="https://www.jcq.org.uk/exams-office/malpractic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cq.org.uk/summer-2021-arrangeme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jcq.org.uk/exams-office/malpracti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cq.org.uk/exams-office/malpractice/" TargetMode="External"/><Relationship Id="rId5" Type="http://schemas.openxmlformats.org/officeDocument/2006/relationships/webSettings" Target="webSettings.xml"/><Relationship Id="rId15" Type="http://schemas.openxmlformats.org/officeDocument/2006/relationships/hyperlink" Target="https://www.jcq.org.uk/summer-2021-arrangements/" TargetMode="External"/><Relationship Id="rId10" Type="http://schemas.openxmlformats.org/officeDocument/2006/relationships/hyperlink" Target="https://www.jcq.org.uk/exams-office/malpract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cq.org.uk/exams-office/malpractice/" TargetMode="External"/><Relationship Id="rId14" Type="http://schemas.openxmlformats.org/officeDocument/2006/relationships/hyperlink" Target="https://www.jcq.org.uk/exams-office/malprac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Karaolis</dc:creator>
  <cp:lastModifiedBy>Jane Karaolis</cp:lastModifiedBy>
  <cp:revision>8</cp:revision>
  <dcterms:created xsi:type="dcterms:W3CDTF">2021-05-12T07:18:00Z</dcterms:created>
  <dcterms:modified xsi:type="dcterms:W3CDTF">2021-05-14T11:53:00Z</dcterms:modified>
</cp:coreProperties>
</file>